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73" w:rsidRPr="00A0224B" w:rsidRDefault="00A22273" w:rsidP="007B6FCC">
      <w:pPr>
        <w:tabs>
          <w:tab w:val="left" w:pos="1843"/>
        </w:tabs>
        <w:spacing w:after="0" w:line="360" w:lineRule="auto"/>
        <w:jc w:val="both"/>
        <w:rPr>
          <w:rFonts w:ascii="Palatino Linotype" w:hAnsi="Palatino Linotype" w:cs="Tahoma"/>
          <w:b/>
          <w:sz w:val="10"/>
          <w:szCs w:val="10"/>
        </w:rPr>
      </w:pPr>
    </w:p>
    <w:p w:rsidR="009E0861" w:rsidRPr="009A64EE" w:rsidRDefault="009E0861" w:rsidP="007B6FCC">
      <w:pPr>
        <w:tabs>
          <w:tab w:val="left" w:pos="1843"/>
        </w:tabs>
        <w:spacing w:after="0" w:line="360" w:lineRule="auto"/>
        <w:jc w:val="both"/>
        <w:rPr>
          <w:rFonts w:ascii="Palatino Linotype" w:hAnsi="Palatino Linotype" w:cs="Tahoma"/>
          <w:b/>
          <w:caps/>
        </w:rPr>
      </w:pPr>
      <w:r w:rsidRPr="003424F7">
        <w:rPr>
          <w:rFonts w:ascii="Palatino Linotype" w:hAnsi="Palatino Linotype" w:cs="Tahoma"/>
          <w:b/>
        </w:rPr>
        <w:t xml:space="preserve">VOTO PARTICULAR QUE FORMULA EL COMISIONADO LUIS GUSTAVO PARRA NORIEGA, EN RELACIÓN CON LA RESOLUCIÓN DEL RECURSO DE REVISIÓN </w:t>
      </w:r>
      <w:r w:rsidR="00792848" w:rsidRPr="003424F7">
        <w:rPr>
          <w:rFonts w:ascii="Palatino Linotype" w:hAnsi="Palatino Linotype" w:cs="Tahoma"/>
          <w:b/>
        </w:rPr>
        <w:t>031</w:t>
      </w:r>
      <w:r w:rsidR="00512430">
        <w:rPr>
          <w:rFonts w:ascii="Palatino Linotype" w:hAnsi="Palatino Linotype" w:cs="Tahoma"/>
          <w:b/>
        </w:rPr>
        <w:t>55</w:t>
      </w:r>
      <w:r w:rsidR="00DE4452" w:rsidRPr="003424F7">
        <w:rPr>
          <w:rFonts w:ascii="Palatino Linotype" w:hAnsi="Palatino Linotype" w:cs="Tahoma"/>
          <w:b/>
        </w:rPr>
        <w:t>/INFOEM/IP/RR/2018</w:t>
      </w:r>
      <w:r w:rsidRPr="003424F7">
        <w:rPr>
          <w:rFonts w:ascii="Palatino Linotype" w:hAnsi="Palatino Linotype" w:cs="Tahoma"/>
          <w:b/>
          <w:caps/>
        </w:rPr>
        <w:t>,</w:t>
      </w:r>
      <w:r w:rsidRPr="003424F7">
        <w:rPr>
          <w:rFonts w:ascii="Palatino Linotype" w:hAnsi="Palatino Linotype" w:cs="Tahoma"/>
          <w:b/>
        </w:rPr>
        <w:t xml:space="preserve"> PROMOVIDO EN </w:t>
      </w:r>
      <w:r w:rsidR="00792848" w:rsidRPr="003424F7">
        <w:rPr>
          <w:rFonts w:ascii="Palatino Linotype" w:hAnsi="Palatino Linotype" w:cs="Tahoma"/>
          <w:b/>
        </w:rPr>
        <w:t>CONTRA DE</w:t>
      </w:r>
      <w:r w:rsidR="00512430">
        <w:rPr>
          <w:rFonts w:ascii="Palatino Linotype" w:hAnsi="Palatino Linotype" w:cs="Tahoma"/>
          <w:b/>
        </w:rPr>
        <w:t xml:space="preserve"> </w:t>
      </w:r>
      <w:r w:rsidR="002E1DB3">
        <w:rPr>
          <w:rFonts w:ascii="Palatino Linotype" w:hAnsi="Palatino Linotype" w:cs="Tahoma"/>
          <w:b/>
        </w:rPr>
        <w:t>L</w:t>
      </w:r>
      <w:r w:rsidR="00512430">
        <w:rPr>
          <w:rFonts w:ascii="Palatino Linotype" w:hAnsi="Palatino Linotype" w:cs="Tahoma"/>
          <w:b/>
        </w:rPr>
        <w:t xml:space="preserve">A </w:t>
      </w:r>
      <w:r w:rsidR="002E1DB3">
        <w:rPr>
          <w:rFonts w:ascii="Palatino Linotype" w:hAnsi="Palatino Linotype" w:cs="Tahoma"/>
          <w:b/>
        </w:rPr>
        <w:t>S</w:t>
      </w:r>
      <w:bookmarkStart w:id="0" w:name="_GoBack"/>
      <w:bookmarkEnd w:id="0"/>
      <w:r w:rsidR="00512430">
        <w:rPr>
          <w:rFonts w:ascii="Palatino Linotype" w:hAnsi="Palatino Linotype" w:cs="Tahoma"/>
          <w:b/>
        </w:rPr>
        <w:t>ECRETARÍA DEL MEDIO AMBIENTE</w:t>
      </w:r>
      <w:r w:rsidR="00792848" w:rsidRPr="009A64EE">
        <w:rPr>
          <w:rFonts w:ascii="Palatino Linotype" w:hAnsi="Palatino Linotype" w:cs="Tahoma"/>
          <w:b/>
          <w:caps/>
        </w:rPr>
        <w:t xml:space="preserve">. </w:t>
      </w:r>
    </w:p>
    <w:p w:rsidR="009E0861" w:rsidRPr="003424F7" w:rsidRDefault="009E0861" w:rsidP="007B6FCC">
      <w:pPr>
        <w:spacing w:after="0" w:line="360" w:lineRule="auto"/>
        <w:jc w:val="both"/>
        <w:rPr>
          <w:rFonts w:ascii="Palatino Linotype" w:hAnsi="Palatino Linotype" w:cs="Tahoma"/>
        </w:rPr>
      </w:pPr>
    </w:p>
    <w:p w:rsidR="009E0861" w:rsidRPr="003424F7" w:rsidRDefault="009E0861" w:rsidP="007B6FCC">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792848" w:rsidRPr="003424F7">
        <w:rPr>
          <w:rFonts w:ascii="Palatino Linotype" w:hAnsi="Palatino Linotype" w:cs="Tahoma"/>
        </w:rPr>
        <w:t>31</w:t>
      </w:r>
      <w:r w:rsidR="00512430">
        <w:rPr>
          <w:rFonts w:ascii="Palatino Linotype" w:hAnsi="Palatino Linotype" w:cs="Tahoma"/>
        </w:rPr>
        <w:t>55</w:t>
      </w:r>
      <w:r w:rsidR="00A742D1" w:rsidRPr="003424F7">
        <w:rPr>
          <w:rFonts w:ascii="Palatino Linotype" w:hAnsi="Palatino Linotype" w:cs="Tahoma"/>
        </w:rPr>
        <w:t>/INFOEM/IP/RR/</w:t>
      </w:r>
      <w:r w:rsidR="00104333" w:rsidRPr="003424F7">
        <w:rPr>
          <w:rFonts w:ascii="Palatino Linotype" w:hAnsi="Palatino Linotype" w:cs="Tahoma"/>
        </w:rPr>
        <w:t>2018.</w:t>
      </w:r>
    </w:p>
    <w:p w:rsidR="009E0861" w:rsidRPr="003424F7" w:rsidRDefault="009E0861" w:rsidP="007B6FCC">
      <w:pPr>
        <w:spacing w:after="0" w:line="360" w:lineRule="auto"/>
        <w:jc w:val="both"/>
        <w:rPr>
          <w:rFonts w:ascii="Palatino Linotype" w:hAnsi="Palatino Linotype" w:cs="Tahoma"/>
        </w:rPr>
      </w:pPr>
    </w:p>
    <w:p w:rsidR="00F617E2" w:rsidRDefault="00EA7E26" w:rsidP="007B6FCC">
      <w:pPr>
        <w:spacing w:after="0" w:line="360" w:lineRule="auto"/>
        <w:jc w:val="both"/>
        <w:rPr>
          <w:rFonts w:ascii="Palatino Linotype" w:hAnsi="Palatino Linotype" w:cs="Tahoma"/>
          <w:i/>
        </w:rPr>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993790" w:rsidRPr="003424F7">
        <w:rPr>
          <w:rFonts w:ascii="Palatino Linotype" w:hAnsi="Palatino Linotype" w:cs="Tahoma"/>
        </w:rPr>
        <w:t>, la</w:t>
      </w:r>
      <w:r w:rsidR="00627F2B" w:rsidRPr="003424F7">
        <w:rPr>
          <w:rFonts w:ascii="Palatino Linotype" w:hAnsi="Palatino Linotype" w:cs="Tahoma"/>
        </w:rPr>
        <w:t xml:space="preserve"> entonces solicitante </w:t>
      </w:r>
      <w:r w:rsidR="00627F2B" w:rsidRPr="007F3364">
        <w:rPr>
          <w:rFonts w:ascii="Palatino Linotype" w:hAnsi="Palatino Linotype" w:cs="Tahoma"/>
          <w:i/>
        </w:rPr>
        <w:t xml:space="preserve">requirió </w:t>
      </w:r>
      <w:r w:rsidR="007F3364" w:rsidRPr="007F3364">
        <w:rPr>
          <w:rFonts w:ascii="Palatino Linotype" w:hAnsi="Palatino Linotype" w:cs="Tahoma"/>
          <w:i/>
        </w:rPr>
        <w:t>“1. Lista de bancos de préstamo (materiales) autorizados en materia ambiental del Estado de México, incluyendo la ubicación (dirección y coordenadas), el tipo de material autorizado a explotar y el número de la autorización. 2. Lista de bancos de tiro autorizados en materia ambiental del Estado de México, incluyendo la ubicación (dirección y coordenadas), y el número de la autorización.” (Sic.)</w:t>
      </w:r>
    </w:p>
    <w:p w:rsidR="00F617E2" w:rsidRDefault="00F617E2" w:rsidP="007B6FCC">
      <w:pPr>
        <w:spacing w:after="0" w:line="360" w:lineRule="auto"/>
        <w:jc w:val="both"/>
        <w:rPr>
          <w:rFonts w:ascii="Palatino Linotype" w:hAnsi="Palatino Linotype" w:cs="Tahoma"/>
          <w:i/>
        </w:rPr>
      </w:pPr>
    </w:p>
    <w:p w:rsidR="00F617E2" w:rsidRDefault="00F617E2" w:rsidP="007B6FCC">
      <w:pPr>
        <w:spacing w:after="0" w:line="360" w:lineRule="auto"/>
        <w:jc w:val="both"/>
        <w:rPr>
          <w:rFonts w:ascii="Palatino Linotype" w:hAnsi="Palatino Linotype" w:cs="Tahoma"/>
        </w:rPr>
      </w:pPr>
      <w:r>
        <w:rPr>
          <w:rFonts w:ascii="Palatino Linotype" w:hAnsi="Palatino Linotype" w:cs="Tahoma"/>
        </w:rPr>
        <w:t>El recurso de información se presenta en virtud de la entrega incompleta de información y por ende, se determina la procedencia de entregar lo siguiente:</w:t>
      </w:r>
    </w:p>
    <w:p w:rsidR="00C05CDF" w:rsidRDefault="00C05CDF" w:rsidP="007B6FCC">
      <w:pPr>
        <w:spacing w:after="0" w:line="360" w:lineRule="auto"/>
        <w:jc w:val="both"/>
      </w:pPr>
    </w:p>
    <w:p w:rsidR="00F617E2" w:rsidRPr="00F617E2" w:rsidRDefault="00F617E2" w:rsidP="007B6FCC">
      <w:pPr>
        <w:spacing w:after="0" w:line="360" w:lineRule="auto"/>
        <w:ind w:left="567" w:right="567"/>
        <w:jc w:val="both"/>
        <w:rPr>
          <w:i/>
          <w:sz w:val="20"/>
          <w:szCs w:val="20"/>
        </w:rPr>
      </w:pPr>
      <w:r w:rsidRPr="00F617E2">
        <w:rPr>
          <w:i/>
          <w:sz w:val="20"/>
          <w:szCs w:val="20"/>
        </w:rPr>
        <w:t>1.</w:t>
      </w:r>
      <w:r w:rsidRPr="00F617E2">
        <w:rPr>
          <w:i/>
          <w:sz w:val="20"/>
          <w:szCs w:val="20"/>
        </w:rPr>
        <w:tab/>
        <w:t>De los listados remitidos en la respuesta primigenia, la dirección de las minas de materiales pétreos y de los sitios autorizados de recepción de residuos de manejo especial.</w:t>
      </w:r>
    </w:p>
    <w:p w:rsidR="00F617E2" w:rsidRPr="00F617E2" w:rsidRDefault="00F617E2" w:rsidP="007B6FCC">
      <w:pPr>
        <w:spacing w:after="0" w:line="360" w:lineRule="auto"/>
        <w:ind w:left="567" w:right="567"/>
        <w:jc w:val="both"/>
        <w:rPr>
          <w:i/>
          <w:sz w:val="20"/>
          <w:szCs w:val="20"/>
        </w:rPr>
      </w:pPr>
      <w:r w:rsidRPr="00F617E2">
        <w:rPr>
          <w:i/>
          <w:sz w:val="20"/>
          <w:szCs w:val="20"/>
        </w:rPr>
        <w:lastRenderedPageBreak/>
        <w:t>2.</w:t>
      </w:r>
      <w:r w:rsidRPr="00F617E2">
        <w:rPr>
          <w:i/>
          <w:sz w:val="20"/>
          <w:szCs w:val="20"/>
        </w:rPr>
        <w:tab/>
        <w:t>De los listados remitidos en la respuesta primigenia, las coordenadas de las minas de materiales pétreos y de los sitios autorizados de recepción de residuos de manejo especial</w:t>
      </w:r>
    </w:p>
    <w:p w:rsidR="00F617E2" w:rsidRPr="00F617E2" w:rsidRDefault="00F617E2" w:rsidP="007B6FCC">
      <w:pPr>
        <w:spacing w:after="0" w:line="360" w:lineRule="auto"/>
        <w:ind w:left="567" w:right="567"/>
        <w:jc w:val="both"/>
        <w:rPr>
          <w:i/>
          <w:sz w:val="20"/>
          <w:szCs w:val="20"/>
        </w:rPr>
      </w:pPr>
      <w:r w:rsidRPr="00F617E2">
        <w:rPr>
          <w:i/>
          <w:sz w:val="20"/>
          <w:szCs w:val="20"/>
        </w:rPr>
        <w:t>3.</w:t>
      </w:r>
      <w:r w:rsidRPr="00F617E2">
        <w:rPr>
          <w:i/>
          <w:sz w:val="20"/>
          <w:szCs w:val="20"/>
        </w:rPr>
        <w:tab/>
        <w:t>De los listados remitidos en la respuesta primigenia, el tipo de material autorizado a explotar en las minas de materiales pétreos.</w:t>
      </w:r>
    </w:p>
    <w:p w:rsidR="00F617E2" w:rsidRPr="00F617E2" w:rsidRDefault="00F617E2" w:rsidP="007B6FCC">
      <w:pPr>
        <w:spacing w:after="0" w:line="360" w:lineRule="auto"/>
        <w:ind w:left="567" w:right="567"/>
        <w:jc w:val="both"/>
        <w:rPr>
          <w:i/>
          <w:sz w:val="20"/>
          <w:szCs w:val="20"/>
        </w:rPr>
      </w:pPr>
      <w:r w:rsidRPr="00F617E2">
        <w:rPr>
          <w:i/>
          <w:sz w:val="20"/>
          <w:szCs w:val="20"/>
        </w:rPr>
        <w:t>4.</w:t>
      </w:r>
      <w:r w:rsidRPr="00F617E2">
        <w:rPr>
          <w:i/>
          <w:sz w:val="20"/>
          <w:szCs w:val="20"/>
        </w:rPr>
        <w:tab/>
        <w:t>Los sitios autorizados de recepción de residuos sólidos urbanos, incluyendo la dirección y número de autorización, vigentes al diez de agosto de dos mil dieciocho.</w:t>
      </w:r>
    </w:p>
    <w:p w:rsidR="00F617E2" w:rsidRPr="00F617E2" w:rsidRDefault="00F617E2" w:rsidP="007B6FCC">
      <w:pPr>
        <w:spacing w:after="0" w:line="360" w:lineRule="auto"/>
        <w:ind w:left="567" w:right="567"/>
        <w:jc w:val="both"/>
        <w:rPr>
          <w:i/>
          <w:sz w:val="20"/>
          <w:szCs w:val="20"/>
        </w:rPr>
      </w:pPr>
      <w:r w:rsidRPr="00F617E2">
        <w:rPr>
          <w:i/>
          <w:sz w:val="20"/>
          <w:szCs w:val="20"/>
        </w:rPr>
        <w:t>5.</w:t>
      </w:r>
      <w:r w:rsidRPr="00F617E2">
        <w:rPr>
          <w:i/>
          <w:sz w:val="20"/>
          <w:szCs w:val="20"/>
        </w:rPr>
        <w:tab/>
        <w:t>Las coordenadas de los sitios autorizados de recepción de residuos sólidos urbanos, vigentes al diez de agosto de dos mil dieciocho.</w:t>
      </w:r>
    </w:p>
    <w:p w:rsidR="00F617E2" w:rsidRPr="00F617E2" w:rsidRDefault="00F617E2" w:rsidP="007B6FCC">
      <w:pPr>
        <w:spacing w:after="0" w:line="360" w:lineRule="auto"/>
        <w:ind w:left="567" w:right="567"/>
        <w:jc w:val="both"/>
        <w:rPr>
          <w:i/>
          <w:sz w:val="20"/>
          <w:szCs w:val="20"/>
        </w:rPr>
      </w:pPr>
    </w:p>
    <w:p w:rsidR="00C05CDF" w:rsidRDefault="00F617E2" w:rsidP="007B6FCC">
      <w:pPr>
        <w:spacing w:after="0" w:line="360" w:lineRule="auto"/>
        <w:ind w:left="567" w:right="567"/>
        <w:jc w:val="both"/>
        <w:rPr>
          <w:i/>
          <w:sz w:val="20"/>
          <w:szCs w:val="20"/>
        </w:rPr>
      </w:pPr>
      <w:r w:rsidRPr="00F617E2">
        <w:rPr>
          <w:i/>
          <w:sz w:val="20"/>
          <w:szCs w:val="20"/>
        </w:rPr>
        <w:t>En el supuesto de que la información respecto de la que se ordena la entrega en los puntos del 1 al 5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995476" w:rsidRDefault="00995476" w:rsidP="007B6FCC">
      <w:pPr>
        <w:spacing w:after="0" w:line="360" w:lineRule="auto"/>
        <w:ind w:left="567" w:right="567"/>
        <w:jc w:val="both"/>
        <w:rPr>
          <w:i/>
          <w:sz w:val="20"/>
          <w:szCs w:val="20"/>
        </w:rPr>
      </w:pPr>
    </w:p>
    <w:p w:rsidR="00995476" w:rsidRPr="00995476" w:rsidRDefault="00995476" w:rsidP="007B6FCC">
      <w:pPr>
        <w:spacing w:after="0" w:line="360" w:lineRule="auto"/>
        <w:ind w:left="567" w:right="567"/>
        <w:jc w:val="both"/>
        <w:rPr>
          <w:i/>
        </w:rPr>
      </w:pPr>
      <w:r w:rsidRPr="00995476">
        <w:rPr>
          <w:i/>
        </w:rPr>
        <w:t>Para el caso de que el sujeto obligado, no cuente con la información señalada en los puntos 2 y 5 del presente Resolutivo, el Comité de Transparencia deberá emitir el Acuerdo de Inexistencia en el que de manera fundada y motivada se expliquen las razones de por qué no se cuenta con ella, en términos del Considerando CUARTO, mismo que deberá hacerse del conocimiento al recurrente.</w:t>
      </w:r>
    </w:p>
    <w:p w:rsidR="00C05CDF" w:rsidRDefault="00C05CDF" w:rsidP="007B6FCC">
      <w:pPr>
        <w:spacing w:after="0" w:line="360" w:lineRule="auto"/>
        <w:jc w:val="both"/>
        <w:rPr>
          <w:rFonts w:ascii="Palatino Linotype" w:hAnsi="Palatino Linotype" w:cs="Tahoma"/>
        </w:rPr>
      </w:pPr>
    </w:p>
    <w:p w:rsidR="00995476" w:rsidRDefault="00D55306" w:rsidP="007B6FCC">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se emite el presente Voto Particular, dentro de la Resolución</w:t>
      </w:r>
      <w:r w:rsidR="00F617E2">
        <w:rPr>
          <w:rFonts w:ascii="Palatino Linotype" w:eastAsia="Arial Unicode MS" w:hAnsi="Palatino Linotype" w:cs="Tahoma"/>
        </w:rPr>
        <w:t xml:space="preserve"> </w:t>
      </w:r>
      <w:r w:rsidR="00C05CDF">
        <w:rPr>
          <w:rFonts w:ascii="Palatino Linotype" w:eastAsia="Arial Unicode MS" w:hAnsi="Palatino Linotype" w:cs="Tahoma"/>
        </w:rPr>
        <w:t>analiza</w:t>
      </w:r>
      <w:r w:rsidR="00184185">
        <w:rPr>
          <w:rFonts w:ascii="Palatino Linotype" w:eastAsia="Arial Unicode MS" w:hAnsi="Palatino Linotype" w:cs="Tahoma"/>
        </w:rPr>
        <w:t>da</w:t>
      </w:r>
      <w:r w:rsidR="00C05CDF">
        <w:rPr>
          <w:rFonts w:ascii="Palatino Linotype" w:eastAsia="Arial Unicode MS" w:hAnsi="Palatino Linotype" w:cs="Tahoma"/>
        </w:rPr>
        <w:t xml:space="preserve">, en virtud de que, </w:t>
      </w:r>
      <w:r w:rsidR="00F617E2">
        <w:rPr>
          <w:rFonts w:ascii="Palatino Linotype" w:eastAsia="Arial Unicode MS" w:hAnsi="Palatino Linotype" w:cs="Tahoma"/>
        </w:rPr>
        <w:t>se incluye la posibilidad de entreg</w:t>
      </w:r>
      <w:r w:rsidR="00184185">
        <w:rPr>
          <w:rFonts w:ascii="Palatino Linotype" w:eastAsia="Arial Unicode MS" w:hAnsi="Palatino Linotype" w:cs="Tahoma"/>
        </w:rPr>
        <w:t>ar</w:t>
      </w:r>
      <w:r w:rsidR="00F617E2">
        <w:rPr>
          <w:rFonts w:ascii="Palatino Linotype" w:eastAsia="Arial Unicode MS" w:hAnsi="Palatino Linotype" w:cs="Tahoma"/>
        </w:rPr>
        <w:t xml:space="preserve"> en versión pública</w:t>
      </w:r>
      <w:r w:rsidR="00184185">
        <w:rPr>
          <w:rFonts w:ascii="Palatino Linotype" w:eastAsia="Arial Unicode MS" w:hAnsi="Palatino Linotype" w:cs="Tahoma"/>
        </w:rPr>
        <w:t xml:space="preserve"> la documentación que dé cuenta de lo solicitado</w:t>
      </w:r>
      <w:r w:rsidR="00F617E2">
        <w:rPr>
          <w:rFonts w:ascii="Palatino Linotype" w:eastAsia="Arial Unicode MS" w:hAnsi="Palatino Linotype" w:cs="Tahoma"/>
        </w:rPr>
        <w:t xml:space="preserve">, sin identificar el tipo de documento que daría respuesta a la </w:t>
      </w:r>
      <w:r w:rsidR="000A3361">
        <w:rPr>
          <w:rFonts w:ascii="Palatino Linotype" w:eastAsia="Arial Unicode MS" w:hAnsi="Palatino Linotype" w:cs="Tahoma"/>
        </w:rPr>
        <w:t>misma y</w:t>
      </w:r>
      <w:r w:rsidR="00F617E2">
        <w:rPr>
          <w:rFonts w:ascii="Palatino Linotype" w:eastAsia="Arial Unicode MS" w:hAnsi="Palatino Linotype" w:cs="Tahoma"/>
        </w:rPr>
        <w:t xml:space="preserve"> se agrega la posibilidad de eliminar las cadenas y sellos que regularmente aparecen en facturas y recibos de nómina, información que simple vista no guarda relación con lo solicitado</w:t>
      </w:r>
      <w:r w:rsidR="00995476">
        <w:rPr>
          <w:rFonts w:ascii="Palatino Linotype" w:eastAsia="Arial Unicode MS" w:hAnsi="Palatino Linotype" w:cs="Tahoma"/>
        </w:rPr>
        <w:t>.</w:t>
      </w:r>
    </w:p>
    <w:p w:rsidR="00995476" w:rsidRDefault="00995476" w:rsidP="007B6FCC">
      <w:pPr>
        <w:spacing w:after="0" w:line="360" w:lineRule="auto"/>
        <w:jc w:val="both"/>
        <w:rPr>
          <w:rFonts w:ascii="Palatino Linotype" w:eastAsia="Arial Unicode MS" w:hAnsi="Palatino Linotype" w:cs="Tahoma"/>
        </w:rPr>
      </w:pPr>
    </w:p>
    <w:p w:rsidR="00995476" w:rsidRDefault="00995476" w:rsidP="007B6FCC">
      <w:pPr>
        <w:spacing w:after="0" w:line="360" w:lineRule="auto"/>
        <w:jc w:val="both"/>
        <w:rPr>
          <w:rFonts w:ascii="Palatino Linotype" w:eastAsia="Arial Unicode MS" w:hAnsi="Palatino Linotype" w:cs="Tahoma"/>
        </w:rPr>
      </w:pPr>
      <w:r>
        <w:rPr>
          <w:rFonts w:ascii="Palatino Linotype" w:eastAsia="Arial Unicode MS" w:hAnsi="Palatino Linotype" w:cs="Tahoma"/>
        </w:rPr>
        <w:lastRenderedPageBreak/>
        <w:t xml:space="preserve">En efecto, no existe una justificación en el sentido de qué documento de carácter fiscal  pueda contener cadenas y sellos digitales; </w:t>
      </w:r>
      <w:r w:rsidR="00F617E2">
        <w:rPr>
          <w:rFonts w:ascii="Palatino Linotype" w:eastAsia="Arial Unicode MS" w:hAnsi="Palatino Linotype" w:cs="Tahoma"/>
        </w:rPr>
        <w:t xml:space="preserve">adicional ello, me he pronunciado en el sentido de que </w:t>
      </w:r>
      <w:r w:rsidR="00C05CDF">
        <w:rPr>
          <w:rFonts w:ascii="Palatino Linotype" w:eastAsia="Arial Unicode MS" w:hAnsi="Palatino Linotype" w:cs="Tahoma"/>
        </w:rPr>
        <w:t>las cadenas y sellos que aparecen en los recibos de nómina</w:t>
      </w:r>
      <w:r w:rsidR="00F617E2">
        <w:rPr>
          <w:rFonts w:ascii="Palatino Linotype" w:eastAsia="Arial Unicode MS" w:hAnsi="Palatino Linotype" w:cs="Tahoma"/>
        </w:rPr>
        <w:t xml:space="preserve"> y las facturas</w:t>
      </w:r>
      <w:r w:rsidR="00C05CDF">
        <w:rPr>
          <w:rFonts w:ascii="Palatino Linotype" w:eastAsia="Arial Unicode MS" w:hAnsi="Palatino Linotype" w:cs="Tahoma"/>
        </w:rPr>
        <w:t xml:space="preserve">, </w:t>
      </w:r>
      <w:r w:rsidR="00D6548F" w:rsidRPr="003424F7">
        <w:rPr>
          <w:rFonts w:ascii="Palatino Linotype" w:eastAsia="Arial Unicode MS" w:hAnsi="Palatino Linotype" w:cs="Tahoma"/>
        </w:rPr>
        <w:t xml:space="preserve">no contienen datos personales confidenciales. </w:t>
      </w:r>
      <w:r w:rsidR="000117EA">
        <w:rPr>
          <w:rFonts w:ascii="Palatino Linotype" w:eastAsia="Arial Unicode MS" w:hAnsi="Palatino Linotype" w:cs="Tahoma"/>
        </w:rPr>
        <w:t xml:space="preserve"> </w:t>
      </w:r>
    </w:p>
    <w:p w:rsidR="00995476" w:rsidRDefault="00995476" w:rsidP="007B6FCC">
      <w:pPr>
        <w:spacing w:after="0" w:line="360" w:lineRule="auto"/>
        <w:jc w:val="both"/>
        <w:rPr>
          <w:rFonts w:ascii="Palatino Linotype" w:eastAsia="Arial Unicode MS" w:hAnsi="Palatino Linotype" w:cs="Tahoma"/>
        </w:rPr>
      </w:pPr>
    </w:p>
    <w:p w:rsidR="00B73847" w:rsidRPr="003424F7" w:rsidRDefault="00B73847" w:rsidP="007B6FCC">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Pr="003424F7">
        <w:rPr>
          <w:rFonts w:ascii="Palatino Linotype" w:eastAsia="Arial Unicode MS" w:hAnsi="Palatino Linotype" w:cs="Tahoma"/>
        </w:rPr>
        <w:t>de un recibo de nómina.</w:t>
      </w:r>
    </w:p>
    <w:p w:rsidR="00B73847" w:rsidRPr="00085241" w:rsidRDefault="00B73847" w:rsidP="007B6FCC">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22896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7568" cy="2350247"/>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7B6FCC">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7B6FCC">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B73847" w:rsidRPr="003424F7" w:rsidRDefault="00B73847" w:rsidP="007B6FCC">
      <w:pPr>
        <w:spacing w:after="0" w:line="360" w:lineRule="auto"/>
        <w:jc w:val="both"/>
        <w:rPr>
          <w:rFonts w:ascii="Palatino Linotype" w:eastAsia="Arial Unicode MS" w:hAnsi="Palatino Linotype" w:cs="Tahoma"/>
        </w:rPr>
      </w:pPr>
    </w:p>
    <w:p w:rsidR="004E40F0" w:rsidRDefault="00B73847" w:rsidP="007B6FCC">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7B6FCC">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7B6FCC">
      <w:pPr>
        <w:spacing w:after="0" w:line="360" w:lineRule="auto"/>
        <w:jc w:val="both"/>
        <w:rPr>
          <w:rFonts w:ascii="Palatino Linotype" w:eastAsia="Arial Unicode MS" w:hAnsi="Palatino Linotype" w:cs="Tahoma"/>
        </w:rPr>
      </w:pPr>
    </w:p>
    <w:p w:rsidR="00B30925" w:rsidRPr="003424F7" w:rsidRDefault="00B30925" w:rsidP="007B6FCC">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7B6FCC">
      <w:pPr>
        <w:spacing w:after="0" w:line="360" w:lineRule="auto"/>
        <w:jc w:val="both"/>
        <w:rPr>
          <w:rFonts w:ascii="Palatino Linotype" w:eastAsia="Arial Unicode MS" w:hAnsi="Palatino Linotype" w:cs="Tahoma"/>
          <w:sz w:val="24"/>
          <w:szCs w:val="24"/>
        </w:rPr>
      </w:pPr>
    </w:p>
    <w:p w:rsidR="00B30925" w:rsidRPr="00085241" w:rsidRDefault="00B30925" w:rsidP="007B6FCC">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7B6FCC">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7B6FCC">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7B6FCC">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7B6FCC">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7B6FCC">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7B6FCC">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7B6FCC">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su estado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B73847" w:rsidRPr="00085241" w:rsidRDefault="00B73847" w:rsidP="007B6FCC">
      <w:pPr>
        <w:spacing w:after="0" w:line="360" w:lineRule="auto"/>
        <w:jc w:val="both"/>
        <w:rPr>
          <w:rFonts w:ascii="Palatino Linotype" w:eastAsia="Arial Unicode MS" w:hAnsi="Palatino Linotype" w:cs="Tahoma"/>
          <w:sz w:val="24"/>
          <w:szCs w:val="24"/>
        </w:rPr>
      </w:pPr>
    </w:p>
    <w:p w:rsidR="00A96CE5" w:rsidRPr="003424F7" w:rsidRDefault="00884A10" w:rsidP="007B6FCC">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7B6FCC">
      <w:pPr>
        <w:spacing w:after="0" w:line="360" w:lineRule="auto"/>
        <w:jc w:val="both"/>
        <w:rPr>
          <w:rFonts w:ascii="Palatino Linotype" w:eastAsia="Arial Unicode MS" w:hAnsi="Palatino Linotype" w:cs="Tahoma"/>
        </w:rPr>
      </w:pPr>
    </w:p>
    <w:p w:rsidR="009E0861" w:rsidRPr="003424F7" w:rsidRDefault="009E0861" w:rsidP="007B6FCC">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7B6FCC">
      <w:pPr>
        <w:spacing w:after="0" w:line="360" w:lineRule="auto"/>
        <w:jc w:val="center"/>
        <w:rPr>
          <w:rFonts w:ascii="Palatino Linotype" w:hAnsi="Palatino Linotype" w:cs="Tahoma"/>
        </w:rPr>
      </w:pPr>
    </w:p>
    <w:p w:rsidR="00553ADE" w:rsidRPr="003424F7" w:rsidRDefault="00A0224B" w:rsidP="007B6FCC">
      <w:pPr>
        <w:spacing w:after="0" w:line="360"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7B6FCC">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7B6FCC">
      <w:pPr>
        <w:spacing w:after="0" w:line="360"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F62" w:rsidRDefault="005A5F62" w:rsidP="00EE29F6">
      <w:pPr>
        <w:spacing w:after="0" w:line="240" w:lineRule="auto"/>
      </w:pPr>
      <w:r>
        <w:separator/>
      </w:r>
    </w:p>
  </w:endnote>
  <w:endnote w:type="continuationSeparator" w:id="0">
    <w:p w:rsidR="005A5F62" w:rsidRDefault="005A5F6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E1DB3">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E1DB3">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F62" w:rsidRDefault="005A5F62" w:rsidP="00EE29F6">
      <w:pPr>
        <w:spacing w:after="0" w:line="240" w:lineRule="auto"/>
      </w:pPr>
      <w:r>
        <w:separator/>
      </w:r>
    </w:p>
  </w:footnote>
  <w:footnote w:type="continuationSeparator" w:id="0">
    <w:p w:rsidR="005A5F62" w:rsidRDefault="005A5F6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Recurso de Revisión: 0</w:t>
          </w:r>
          <w:r w:rsidR="00792848">
            <w:rPr>
              <w:rFonts w:ascii="Palatino Linotype" w:hAnsi="Palatino Linotype" w:cs="Tahoma"/>
              <w:b/>
            </w:rPr>
            <w:t>31</w:t>
          </w:r>
          <w:r w:rsidR="00512430">
            <w:rPr>
              <w:rFonts w:ascii="Palatino Linotype" w:hAnsi="Palatino Linotype" w:cs="Tahoma"/>
              <w:b/>
            </w:rPr>
            <w:t>55</w:t>
          </w:r>
          <w:r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Sujeto Obligado: </w:t>
          </w:r>
          <w:r w:rsidR="00512430" w:rsidRPr="00512430">
            <w:rPr>
              <w:rFonts w:ascii="Palatino Linotype" w:hAnsi="Palatino Linotype" w:cs="Tahoma"/>
              <w:b/>
            </w:rPr>
            <w:t>Secretaría del Medio Ambiente</w:t>
          </w:r>
        </w:p>
        <w:p w:rsidR="00363357" w:rsidRPr="001106EA" w:rsidRDefault="00363357" w:rsidP="00512430">
          <w:pPr>
            <w:pStyle w:val="Encabezado"/>
            <w:ind w:left="-108" w:right="170"/>
            <w:jc w:val="both"/>
            <w:rPr>
              <w:rFonts w:ascii="Tahoma" w:hAnsi="Tahoma" w:cs="Tahoma"/>
            </w:rPr>
          </w:pPr>
          <w:r w:rsidRPr="00085241">
            <w:rPr>
              <w:rFonts w:ascii="Palatino Linotype" w:hAnsi="Palatino Linotype" w:cs="Tahoma"/>
              <w:b/>
            </w:rPr>
            <w:t xml:space="preserve">Comisionada Ponente: </w:t>
          </w:r>
          <w:r w:rsidR="00512430">
            <w:rPr>
              <w:rFonts w:ascii="Palatino Linotype" w:hAnsi="Palatino Linotype" w:cs="Tahoma"/>
              <w:b/>
            </w:rPr>
            <w:t>Zulema Martínez Sánchez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A3361"/>
    <w:rsid w:val="000B235B"/>
    <w:rsid w:val="000B7F6F"/>
    <w:rsid w:val="000C10B7"/>
    <w:rsid w:val="000C6052"/>
    <w:rsid w:val="000D186F"/>
    <w:rsid w:val="000E2992"/>
    <w:rsid w:val="00104333"/>
    <w:rsid w:val="0010688C"/>
    <w:rsid w:val="001106EA"/>
    <w:rsid w:val="001159DC"/>
    <w:rsid w:val="00116E1A"/>
    <w:rsid w:val="001336CC"/>
    <w:rsid w:val="00136AD8"/>
    <w:rsid w:val="0014038B"/>
    <w:rsid w:val="00140A57"/>
    <w:rsid w:val="0014736A"/>
    <w:rsid w:val="00161815"/>
    <w:rsid w:val="00162325"/>
    <w:rsid w:val="00164625"/>
    <w:rsid w:val="00164BFE"/>
    <w:rsid w:val="0017349A"/>
    <w:rsid w:val="00184185"/>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1DB3"/>
    <w:rsid w:val="002E4A9A"/>
    <w:rsid w:val="002E5A1A"/>
    <w:rsid w:val="003124B3"/>
    <w:rsid w:val="00333B7A"/>
    <w:rsid w:val="003424F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12430"/>
    <w:rsid w:val="0052260F"/>
    <w:rsid w:val="00524DA5"/>
    <w:rsid w:val="00526DBD"/>
    <w:rsid w:val="00543DF4"/>
    <w:rsid w:val="00544812"/>
    <w:rsid w:val="00550AA5"/>
    <w:rsid w:val="00553ADE"/>
    <w:rsid w:val="0056120D"/>
    <w:rsid w:val="00581C21"/>
    <w:rsid w:val="00582CCB"/>
    <w:rsid w:val="00584D73"/>
    <w:rsid w:val="0059329D"/>
    <w:rsid w:val="005A2510"/>
    <w:rsid w:val="005A5F62"/>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B6FCC"/>
    <w:rsid w:val="007C470C"/>
    <w:rsid w:val="007C5724"/>
    <w:rsid w:val="007D3257"/>
    <w:rsid w:val="007D5554"/>
    <w:rsid w:val="007E3F77"/>
    <w:rsid w:val="007F1C1D"/>
    <w:rsid w:val="007F3364"/>
    <w:rsid w:val="007F41BF"/>
    <w:rsid w:val="007F7D80"/>
    <w:rsid w:val="00802879"/>
    <w:rsid w:val="008171B8"/>
    <w:rsid w:val="00836BC2"/>
    <w:rsid w:val="00861757"/>
    <w:rsid w:val="008629DC"/>
    <w:rsid w:val="00874170"/>
    <w:rsid w:val="00884A10"/>
    <w:rsid w:val="00891412"/>
    <w:rsid w:val="008933AC"/>
    <w:rsid w:val="008A0447"/>
    <w:rsid w:val="008A1DE1"/>
    <w:rsid w:val="008A3DA9"/>
    <w:rsid w:val="008B08C9"/>
    <w:rsid w:val="008D3A6A"/>
    <w:rsid w:val="008E54E2"/>
    <w:rsid w:val="009039FE"/>
    <w:rsid w:val="00922B2E"/>
    <w:rsid w:val="00924A73"/>
    <w:rsid w:val="00926581"/>
    <w:rsid w:val="00927BD1"/>
    <w:rsid w:val="00934451"/>
    <w:rsid w:val="00941847"/>
    <w:rsid w:val="00950355"/>
    <w:rsid w:val="0095470A"/>
    <w:rsid w:val="00954BF1"/>
    <w:rsid w:val="00962B86"/>
    <w:rsid w:val="00965DE9"/>
    <w:rsid w:val="00974836"/>
    <w:rsid w:val="009922E7"/>
    <w:rsid w:val="00993790"/>
    <w:rsid w:val="009943E1"/>
    <w:rsid w:val="00995476"/>
    <w:rsid w:val="00995693"/>
    <w:rsid w:val="009A64EE"/>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54EF3"/>
    <w:rsid w:val="00C55FFC"/>
    <w:rsid w:val="00C75CE0"/>
    <w:rsid w:val="00C920D4"/>
    <w:rsid w:val="00CA7627"/>
    <w:rsid w:val="00CC68E1"/>
    <w:rsid w:val="00CD4339"/>
    <w:rsid w:val="00CD6D0D"/>
    <w:rsid w:val="00CD7611"/>
    <w:rsid w:val="00CE46B3"/>
    <w:rsid w:val="00CE50F9"/>
    <w:rsid w:val="00CF11EE"/>
    <w:rsid w:val="00CF1B14"/>
    <w:rsid w:val="00CF432B"/>
    <w:rsid w:val="00CF7899"/>
    <w:rsid w:val="00D05740"/>
    <w:rsid w:val="00D13875"/>
    <w:rsid w:val="00D15D07"/>
    <w:rsid w:val="00D160F2"/>
    <w:rsid w:val="00D342D7"/>
    <w:rsid w:val="00D357E1"/>
    <w:rsid w:val="00D37CDC"/>
    <w:rsid w:val="00D45BDF"/>
    <w:rsid w:val="00D51426"/>
    <w:rsid w:val="00D51C81"/>
    <w:rsid w:val="00D55306"/>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4957"/>
    <w:rsid w:val="00F617E2"/>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339B-8530-4DE4-96F8-2E7E3292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9</cp:revision>
  <cp:lastPrinted>2018-10-01T19:36:00Z</cp:lastPrinted>
  <dcterms:created xsi:type="dcterms:W3CDTF">2018-11-05T20:17:00Z</dcterms:created>
  <dcterms:modified xsi:type="dcterms:W3CDTF">2018-11-07T01:19:00Z</dcterms:modified>
</cp:coreProperties>
</file>